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A2F" w:rsidRDefault="00AC5A2F" w:rsidP="00793432">
      <w:pPr>
        <w:jc w:val="center"/>
        <w:rPr>
          <w:b/>
          <w:sz w:val="24"/>
          <w:szCs w:val="24"/>
        </w:rPr>
      </w:pPr>
    </w:p>
    <w:p w:rsidR="00AC5A2F" w:rsidRPr="00190E53" w:rsidRDefault="00AC5A2F" w:rsidP="00AC5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/>
        </w:rPr>
      </w:pPr>
      <w:r w:rsidRPr="007542A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/>
        </w:rPr>
        <w:t>AJUTOR DE ÎNCĂLZIRE PENTRU SEZONUL RECE 2024 – 2025</w:t>
      </w:r>
    </w:p>
    <w:p w:rsidR="00AC5A2F" w:rsidRPr="007542AA" w:rsidRDefault="00AC5A2F" w:rsidP="00AC5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C5A2F" w:rsidRPr="007542AA" w:rsidRDefault="00AC5A2F" w:rsidP="00AC5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542AA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 </w:t>
      </w:r>
    </w:p>
    <w:p w:rsidR="00AC5A2F" w:rsidRPr="007542AA" w:rsidRDefault="00190E53" w:rsidP="00AC5A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Spas-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C</w:t>
      </w:r>
      <w:r w:rsidRPr="00190E53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ompartimentul</w:t>
      </w:r>
      <w:proofErr w:type="spellEnd"/>
      <w:r w:rsidRPr="00190E53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 de </w:t>
      </w:r>
      <w:proofErr w:type="spellStart"/>
      <w:r w:rsidRPr="00190E53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asisten</w:t>
      </w:r>
      <w:proofErr w:type="spellEnd"/>
      <w:r w:rsidRPr="00190E5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ța socială </w:t>
      </w:r>
      <w:proofErr w:type="spellStart"/>
      <w:proofErr w:type="gramStart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vă</w:t>
      </w:r>
      <w:proofErr w:type="spellEnd"/>
      <w:proofErr w:type="gramEnd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 </w:t>
      </w:r>
      <w:proofErr w:type="spellStart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aduce</w:t>
      </w:r>
      <w:proofErr w:type="spellEnd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 la </w:t>
      </w:r>
      <w:proofErr w:type="spellStart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cunoștință</w:t>
      </w:r>
      <w:proofErr w:type="spellEnd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 </w:t>
      </w:r>
      <w:proofErr w:type="spellStart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faptul</w:t>
      </w:r>
      <w:proofErr w:type="spellEnd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 </w:t>
      </w:r>
      <w:proofErr w:type="spellStart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că</w:t>
      </w:r>
      <w:proofErr w:type="spellEnd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 lunar </w:t>
      </w:r>
      <w:proofErr w:type="spellStart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în</w:t>
      </w:r>
      <w:proofErr w:type="spellEnd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 </w:t>
      </w:r>
      <w:proofErr w:type="spellStart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perioada</w:t>
      </w:r>
      <w:proofErr w:type="spellEnd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 01 – 20 </w:t>
      </w:r>
      <w:proofErr w:type="spellStart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vor</w:t>
      </w:r>
      <w:proofErr w:type="spellEnd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 fi </w:t>
      </w:r>
      <w:proofErr w:type="spellStart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preluate</w:t>
      </w:r>
      <w:proofErr w:type="spellEnd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 </w:t>
      </w:r>
      <w:proofErr w:type="spellStart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dosarele</w:t>
      </w:r>
      <w:proofErr w:type="spellEnd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 </w:t>
      </w:r>
      <w:proofErr w:type="spellStart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pentru</w:t>
      </w:r>
      <w:proofErr w:type="spellEnd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 </w:t>
      </w:r>
      <w:proofErr w:type="spellStart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obținerea</w:t>
      </w:r>
      <w:proofErr w:type="spellEnd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 </w:t>
      </w:r>
      <w:proofErr w:type="spellStart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ajutorului</w:t>
      </w:r>
      <w:proofErr w:type="spellEnd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 de </w:t>
      </w:r>
      <w:proofErr w:type="spellStart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încălzire</w:t>
      </w:r>
      <w:proofErr w:type="spellEnd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 </w:t>
      </w:r>
      <w:proofErr w:type="spellStart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pentru</w:t>
      </w:r>
      <w:proofErr w:type="spellEnd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 </w:t>
      </w:r>
      <w:proofErr w:type="spellStart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sezonul</w:t>
      </w:r>
      <w:proofErr w:type="spellEnd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 </w:t>
      </w:r>
      <w:proofErr w:type="spellStart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rece</w:t>
      </w:r>
      <w:proofErr w:type="spellEnd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 2024 – 2025 </w:t>
      </w:r>
      <w:proofErr w:type="spellStart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și</w:t>
      </w:r>
      <w:proofErr w:type="spellEnd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 a </w:t>
      </w:r>
      <w:proofErr w:type="spellStart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suplimentului</w:t>
      </w:r>
      <w:proofErr w:type="spellEnd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 </w:t>
      </w:r>
      <w:proofErr w:type="spellStart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pentru</w:t>
      </w:r>
      <w:proofErr w:type="spellEnd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 </w:t>
      </w:r>
      <w:proofErr w:type="spellStart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energie</w:t>
      </w:r>
      <w:proofErr w:type="spellEnd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, conform </w:t>
      </w:r>
      <w:proofErr w:type="spellStart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machetei</w:t>
      </w:r>
      <w:proofErr w:type="spellEnd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 </w:t>
      </w:r>
      <w:proofErr w:type="spellStart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anexate</w:t>
      </w:r>
      <w:proofErr w:type="spellEnd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 </w:t>
      </w:r>
      <w:proofErr w:type="spellStart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spre</w:t>
      </w:r>
      <w:proofErr w:type="spellEnd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 </w:t>
      </w:r>
      <w:proofErr w:type="spellStart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consultare</w:t>
      </w:r>
      <w:proofErr w:type="spellEnd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.</w:t>
      </w:r>
    </w:p>
    <w:p w:rsidR="00AC5A2F" w:rsidRPr="007542AA" w:rsidRDefault="00190E53" w:rsidP="00AC5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 </w:t>
      </w:r>
    </w:p>
    <w:p w:rsidR="00AC5A2F" w:rsidRPr="007542AA" w:rsidRDefault="00190E53" w:rsidP="00AC5A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P</w:t>
      </w:r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erioada</w:t>
      </w:r>
      <w:proofErr w:type="spellEnd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 de </w:t>
      </w:r>
      <w:proofErr w:type="spellStart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depunere</w:t>
      </w:r>
      <w:proofErr w:type="spellEnd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 a </w:t>
      </w:r>
      <w:proofErr w:type="spellStart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dosarului</w:t>
      </w:r>
      <w:proofErr w:type="spellEnd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:   01 – 20 lunar</w:t>
      </w:r>
    </w:p>
    <w:p w:rsidR="00AC5A2F" w:rsidRPr="007542AA" w:rsidRDefault="00190E53" w:rsidP="00AC5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 </w:t>
      </w:r>
    </w:p>
    <w:p w:rsidR="00AC5A2F" w:rsidRPr="007542AA" w:rsidRDefault="00190E53" w:rsidP="00AC5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P</w:t>
      </w:r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lafonul</w:t>
      </w:r>
      <w:proofErr w:type="spellEnd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 de </w:t>
      </w:r>
      <w:proofErr w:type="spellStart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venit</w:t>
      </w:r>
      <w:proofErr w:type="spellEnd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:   </w:t>
      </w:r>
      <w:r w:rsidRPr="00190E53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 - </w:t>
      </w:r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1.386 lei / pers. </w:t>
      </w:r>
      <w:proofErr w:type="spellStart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în</w:t>
      </w:r>
      <w:proofErr w:type="spellEnd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 </w:t>
      </w:r>
      <w:proofErr w:type="spellStart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cazul</w:t>
      </w:r>
      <w:proofErr w:type="spellEnd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 </w:t>
      </w:r>
      <w:proofErr w:type="spellStart"/>
      <w:r w:rsidRPr="007542AA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familiei</w:t>
      </w:r>
      <w:proofErr w:type="spellEnd"/>
    </w:p>
    <w:p w:rsidR="00AC5A2F" w:rsidRPr="00190E53" w:rsidRDefault="00190E53" w:rsidP="00190E5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                   </w:t>
      </w:r>
      <w:r w:rsidRPr="00190E53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2.053 lei </w:t>
      </w:r>
      <w:proofErr w:type="spellStart"/>
      <w:r w:rsidRPr="00190E53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în</w:t>
      </w:r>
      <w:proofErr w:type="spellEnd"/>
      <w:r w:rsidRPr="00190E53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 </w:t>
      </w:r>
      <w:proofErr w:type="spellStart"/>
      <w:r w:rsidRPr="00190E53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cazul</w:t>
      </w:r>
      <w:proofErr w:type="spellEnd"/>
      <w:r w:rsidRPr="00190E53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 </w:t>
      </w:r>
      <w:proofErr w:type="spellStart"/>
      <w:r w:rsidRPr="00190E53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persoanei</w:t>
      </w:r>
      <w:proofErr w:type="spellEnd"/>
      <w:r w:rsidRPr="00190E53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 </w:t>
      </w:r>
      <w:proofErr w:type="spellStart"/>
      <w:r w:rsidRPr="00190E53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singure</w:t>
      </w:r>
      <w:proofErr w:type="spellEnd"/>
    </w:p>
    <w:p w:rsidR="00190E53" w:rsidRDefault="00190E53" w:rsidP="00190E53">
      <w:pPr>
        <w:pStyle w:val="ListParagraph"/>
        <w:spacing w:before="100" w:beforeAutospacing="1" w:after="100" w:afterAutospacing="1"/>
        <w:ind w:left="1068"/>
        <w:outlineLvl w:val="1"/>
        <w:rPr>
          <w:rFonts w:ascii="Arial" w:hAnsi="Arial" w:cs="Arial"/>
          <w:b/>
          <w:bCs/>
          <w:sz w:val="16"/>
          <w:szCs w:val="16"/>
        </w:rPr>
      </w:pPr>
    </w:p>
    <w:p w:rsidR="00190E53" w:rsidRDefault="00190E53" w:rsidP="00190E53">
      <w:pPr>
        <w:pStyle w:val="ListParagraph"/>
        <w:spacing w:before="100" w:beforeAutospacing="1" w:after="100" w:afterAutospacing="1"/>
        <w:ind w:left="1068"/>
        <w:jc w:val="center"/>
        <w:outlineLvl w:val="1"/>
        <w:rPr>
          <w:rFonts w:ascii="Arial" w:hAnsi="Arial" w:cs="Arial"/>
          <w:b/>
          <w:bCs/>
          <w:sz w:val="16"/>
          <w:szCs w:val="16"/>
        </w:rPr>
      </w:pPr>
      <w:r w:rsidRPr="00190E53">
        <w:rPr>
          <w:rFonts w:ascii="Arial" w:hAnsi="Arial" w:cs="Arial"/>
          <w:b/>
          <w:bCs/>
          <w:sz w:val="16"/>
          <w:szCs w:val="16"/>
        </w:rPr>
        <w:t>LIMITELE DE VENITURI, PROCENTUL DE COMPENSARE PENTRU ENERGIA TERMICĂ ȘI CUANTUMUL LUNAR AL AJUTOARELOR PENTRU ÎNCĂLZIREA LOCUINȚEI CU GAZE NATURALE, ENERGIE ELECTRICĂ ŞI COMBUSTIBILI SOLIZI ȘI/SAU PET</w:t>
      </w:r>
      <w:r>
        <w:rPr>
          <w:rFonts w:ascii="Arial" w:hAnsi="Arial" w:cs="Arial"/>
          <w:b/>
          <w:bCs/>
          <w:sz w:val="16"/>
          <w:szCs w:val="16"/>
        </w:rPr>
        <w:t>ROLIERI PENTRU SEZONUL RECE 2024</w:t>
      </w:r>
    </w:p>
    <w:p w:rsidR="00190E53" w:rsidRPr="00190E53" w:rsidRDefault="00190E53" w:rsidP="00190E53">
      <w:pPr>
        <w:pStyle w:val="ListParagraph"/>
        <w:spacing w:before="100" w:beforeAutospacing="1" w:after="100" w:afterAutospacing="1"/>
        <w:ind w:left="1068"/>
        <w:jc w:val="center"/>
        <w:outlineLvl w:val="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- 2025</w:t>
      </w:r>
    </w:p>
    <w:tbl>
      <w:tblPr>
        <w:tblW w:w="14587" w:type="dxa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3346"/>
        <w:gridCol w:w="2612"/>
        <w:gridCol w:w="2746"/>
        <w:gridCol w:w="2612"/>
      </w:tblGrid>
      <w:tr w:rsidR="00190E53" w:rsidRPr="00C32DD7" w:rsidTr="00E93A97">
        <w:trPr>
          <w:trHeight w:val="778"/>
        </w:trPr>
        <w:tc>
          <w:tcPr>
            <w:tcW w:w="3272" w:type="dxa"/>
          </w:tcPr>
          <w:p w:rsidR="00190E53" w:rsidRPr="00C32DD7" w:rsidRDefault="00190E53" w:rsidP="00E93A97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D7">
              <w:rPr>
                <w:rFonts w:ascii="Arial" w:hAnsi="Arial" w:cs="Arial"/>
                <w:b/>
                <w:bCs/>
                <w:sz w:val="16"/>
                <w:szCs w:val="16"/>
              </w:rPr>
              <w:t>Limite de venituri</w:t>
            </w:r>
            <w:r w:rsidRPr="00C32DD7">
              <w:rPr>
                <w:rFonts w:ascii="Arial" w:hAnsi="Arial" w:cs="Arial"/>
                <w:sz w:val="16"/>
                <w:szCs w:val="16"/>
              </w:rPr>
              <w:br/>
            </w:r>
            <w:r w:rsidRPr="00C32DD7">
              <w:rPr>
                <w:rFonts w:ascii="Arial" w:hAnsi="Arial" w:cs="Arial"/>
                <w:b/>
                <w:bCs/>
                <w:sz w:val="16"/>
                <w:szCs w:val="16"/>
              </w:rPr>
              <w:t>(lei)</w:t>
            </w:r>
          </w:p>
        </w:tc>
        <w:tc>
          <w:tcPr>
            <w:tcW w:w="3346" w:type="dxa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D7">
              <w:rPr>
                <w:rFonts w:ascii="Arial" w:hAnsi="Arial" w:cs="Arial"/>
                <w:b/>
                <w:bCs/>
                <w:sz w:val="16"/>
                <w:szCs w:val="16"/>
              </w:rPr>
              <w:t>Procent compensare energie termică</w:t>
            </w:r>
          </w:p>
        </w:tc>
        <w:tc>
          <w:tcPr>
            <w:tcW w:w="0" w:type="auto"/>
          </w:tcPr>
          <w:p w:rsidR="00190E53" w:rsidRPr="00C32DD7" w:rsidRDefault="00190E53" w:rsidP="00E93A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b/>
                <w:bCs/>
                <w:sz w:val="16"/>
                <w:szCs w:val="16"/>
              </w:rPr>
              <w:t>Cuantum ajutor</w:t>
            </w:r>
          </w:p>
          <w:p w:rsidR="00190E53" w:rsidRPr="00C32DD7" w:rsidRDefault="00190E53" w:rsidP="00E93A9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D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gaze naturale (lei) </w:t>
            </w:r>
          </w:p>
          <w:p w:rsidR="00190E53" w:rsidRDefault="00190E53" w:rsidP="00E93A9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90E53" w:rsidRPr="00C32DD7" w:rsidRDefault="00190E53" w:rsidP="00E93A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bCs/>
                <w:sz w:val="16"/>
                <w:szCs w:val="16"/>
              </w:rPr>
              <w:t>Valoarea de referință 250 lei/lună</w:t>
            </w:r>
          </w:p>
        </w:tc>
        <w:tc>
          <w:tcPr>
            <w:tcW w:w="0" w:type="auto"/>
          </w:tcPr>
          <w:p w:rsidR="00190E53" w:rsidRDefault="00190E53" w:rsidP="00E93A9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D7">
              <w:rPr>
                <w:rFonts w:ascii="Arial" w:hAnsi="Arial" w:cs="Arial"/>
                <w:b/>
                <w:bCs/>
                <w:sz w:val="16"/>
                <w:szCs w:val="16"/>
              </w:rPr>
              <w:t>Cuantum ajutor energie electrică</w:t>
            </w:r>
            <w:r w:rsidRPr="00C32DD7">
              <w:rPr>
                <w:rFonts w:ascii="Arial" w:hAnsi="Arial" w:cs="Arial"/>
                <w:sz w:val="16"/>
                <w:szCs w:val="16"/>
              </w:rPr>
              <w:br/>
            </w:r>
            <w:r w:rsidRPr="00C32DD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(lei) </w:t>
            </w:r>
          </w:p>
          <w:p w:rsidR="00190E53" w:rsidRDefault="00190E53" w:rsidP="00E93A9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90E53" w:rsidRPr="00C32DD7" w:rsidRDefault="00190E53" w:rsidP="00E93A9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D7">
              <w:rPr>
                <w:rFonts w:ascii="Arial" w:hAnsi="Arial" w:cs="Arial"/>
                <w:bCs/>
                <w:sz w:val="16"/>
                <w:szCs w:val="16"/>
              </w:rPr>
              <w:t>Valoarea de referință 500 lei/lună</w:t>
            </w:r>
          </w:p>
        </w:tc>
        <w:tc>
          <w:tcPr>
            <w:tcW w:w="0" w:type="auto"/>
          </w:tcPr>
          <w:p w:rsidR="00190E53" w:rsidRPr="00C32DD7" w:rsidRDefault="00190E53" w:rsidP="00E93A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b/>
                <w:bCs/>
                <w:sz w:val="16"/>
                <w:szCs w:val="16"/>
              </w:rPr>
              <w:t>Cuantum ajutor combustibili</w:t>
            </w:r>
          </w:p>
          <w:p w:rsidR="00190E53" w:rsidRPr="00C32DD7" w:rsidRDefault="00190E53" w:rsidP="00E93A9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D7">
              <w:rPr>
                <w:rFonts w:ascii="Arial" w:hAnsi="Arial" w:cs="Arial"/>
                <w:b/>
                <w:bCs/>
                <w:sz w:val="16"/>
                <w:szCs w:val="16"/>
              </w:rPr>
              <w:t>solizi sau petrolieri (lei)</w:t>
            </w:r>
          </w:p>
          <w:p w:rsidR="00190E53" w:rsidRDefault="00190E53" w:rsidP="00E93A9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90E53" w:rsidRPr="00C32DD7" w:rsidRDefault="00190E53" w:rsidP="00E93A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bCs/>
                <w:sz w:val="16"/>
                <w:szCs w:val="16"/>
              </w:rPr>
              <w:t>Valoarea de referință 320 lei/lună</w:t>
            </w:r>
          </w:p>
        </w:tc>
      </w:tr>
      <w:tr w:rsidR="00190E53" w:rsidRPr="00C32DD7" w:rsidTr="00E93A97">
        <w:trPr>
          <w:trHeight w:val="254"/>
        </w:trPr>
        <w:tc>
          <w:tcPr>
            <w:tcW w:w="3272" w:type="dxa"/>
          </w:tcPr>
          <w:p w:rsidR="00190E53" w:rsidRPr="00C32DD7" w:rsidRDefault="00190E53" w:rsidP="00E93A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Până la 200 lei (100%)</w:t>
            </w:r>
          </w:p>
        </w:tc>
        <w:tc>
          <w:tcPr>
            <w:tcW w:w="3346" w:type="dxa"/>
          </w:tcPr>
          <w:p w:rsidR="00190E53" w:rsidRPr="00C32DD7" w:rsidRDefault="00190E53" w:rsidP="00E93A97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0" w:type="auto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0" w:type="auto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</w:tr>
      <w:tr w:rsidR="00190E53" w:rsidRPr="00C32DD7" w:rsidTr="00E93A97">
        <w:trPr>
          <w:trHeight w:val="122"/>
        </w:trPr>
        <w:tc>
          <w:tcPr>
            <w:tcW w:w="3272" w:type="dxa"/>
            <w:vAlign w:val="center"/>
          </w:tcPr>
          <w:p w:rsidR="00190E53" w:rsidRPr="00C32DD7" w:rsidRDefault="00190E53" w:rsidP="00E93A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200,1 – 320 (90%)</w:t>
            </w:r>
          </w:p>
        </w:tc>
        <w:tc>
          <w:tcPr>
            <w:tcW w:w="3346" w:type="dxa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90%</w:t>
            </w:r>
          </w:p>
        </w:tc>
        <w:tc>
          <w:tcPr>
            <w:tcW w:w="0" w:type="auto"/>
            <w:vAlign w:val="center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0" w:type="auto"/>
            <w:vAlign w:val="center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0" w:type="auto"/>
            <w:vAlign w:val="center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288</w:t>
            </w:r>
          </w:p>
        </w:tc>
      </w:tr>
      <w:tr w:rsidR="00190E53" w:rsidRPr="00C32DD7" w:rsidTr="00E93A97">
        <w:trPr>
          <w:trHeight w:val="122"/>
        </w:trPr>
        <w:tc>
          <w:tcPr>
            <w:tcW w:w="3272" w:type="dxa"/>
            <w:vAlign w:val="center"/>
          </w:tcPr>
          <w:p w:rsidR="00190E53" w:rsidRPr="00C32DD7" w:rsidRDefault="00190E53" w:rsidP="00E93A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320,1 – 440 (80%)</w:t>
            </w:r>
          </w:p>
        </w:tc>
        <w:tc>
          <w:tcPr>
            <w:tcW w:w="3346" w:type="dxa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80%</w:t>
            </w:r>
          </w:p>
        </w:tc>
        <w:tc>
          <w:tcPr>
            <w:tcW w:w="0" w:type="auto"/>
            <w:vAlign w:val="center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vAlign w:val="center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0" w:type="auto"/>
            <w:vAlign w:val="center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256</w:t>
            </w:r>
          </w:p>
        </w:tc>
      </w:tr>
      <w:tr w:rsidR="00190E53" w:rsidRPr="00C32DD7" w:rsidTr="00E93A97">
        <w:trPr>
          <w:trHeight w:val="122"/>
        </w:trPr>
        <w:tc>
          <w:tcPr>
            <w:tcW w:w="3272" w:type="dxa"/>
            <w:vAlign w:val="center"/>
          </w:tcPr>
          <w:p w:rsidR="00190E53" w:rsidRPr="00C32DD7" w:rsidRDefault="00190E53" w:rsidP="00E93A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440,1 – 560 (70%)</w:t>
            </w:r>
          </w:p>
        </w:tc>
        <w:tc>
          <w:tcPr>
            <w:tcW w:w="3346" w:type="dxa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0" w:type="auto"/>
            <w:vAlign w:val="center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0" w:type="auto"/>
            <w:vAlign w:val="center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0" w:type="auto"/>
            <w:vAlign w:val="center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224</w:t>
            </w:r>
          </w:p>
        </w:tc>
      </w:tr>
      <w:tr w:rsidR="00190E53" w:rsidRPr="00C32DD7" w:rsidTr="00E93A97">
        <w:trPr>
          <w:trHeight w:val="122"/>
        </w:trPr>
        <w:tc>
          <w:tcPr>
            <w:tcW w:w="3272" w:type="dxa"/>
            <w:vAlign w:val="center"/>
          </w:tcPr>
          <w:p w:rsidR="00190E53" w:rsidRPr="00C32DD7" w:rsidRDefault="00190E53" w:rsidP="00E93A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560,1 – 680 (60%)</w:t>
            </w:r>
          </w:p>
        </w:tc>
        <w:tc>
          <w:tcPr>
            <w:tcW w:w="3346" w:type="dxa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0" w:type="auto"/>
            <w:vAlign w:val="center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vAlign w:val="center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0" w:type="auto"/>
            <w:vAlign w:val="center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</w:tr>
      <w:tr w:rsidR="00190E53" w:rsidRPr="00C32DD7" w:rsidTr="00E93A97">
        <w:trPr>
          <w:trHeight w:val="122"/>
        </w:trPr>
        <w:tc>
          <w:tcPr>
            <w:tcW w:w="3272" w:type="dxa"/>
            <w:vAlign w:val="center"/>
          </w:tcPr>
          <w:p w:rsidR="00190E53" w:rsidRPr="00C32DD7" w:rsidRDefault="00190E53" w:rsidP="00E93A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680,1 – 920 (50%)</w:t>
            </w:r>
          </w:p>
        </w:tc>
        <w:tc>
          <w:tcPr>
            <w:tcW w:w="3346" w:type="dxa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50%</w:t>
            </w:r>
          </w:p>
        </w:tc>
        <w:tc>
          <w:tcPr>
            <w:tcW w:w="0" w:type="auto"/>
            <w:vAlign w:val="center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0" w:type="auto"/>
            <w:vAlign w:val="center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0" w:type="auto"/>
            <w:vAlign w:val="center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</w:tr>
      <w:tr w:rsidR="00190E53" w:rsidRPr="00C32DD7" w:rsidTr="00E93A97">
        <w:trPr>
          <w:trHeight w:val="122"/>
        </w:trPr>
        <w:tc>
          <w:tcPr>
            <w:tcW w:w="3272" w:type="dxa"/>
            <w:vAlign w:val="center"/>
          </w:tcPr>
          <w:p w:rsidR="00190E53" w:rsidRPr="00C32DD7" w:rsidRDefault="00190E53" w:rsidP="00E93A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920,1 – 1.040 (40%)</w:t>
            </w:r>
          </w:p>
        </w:tc>
        <w:tc>
          <w:tcPr>
            <w:tcW w:w="3346" w:type="dxa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40%</w:t>
            </w:r>
          </w:p>
        </w:tc>
        <w:tc>
          <w:tcPr>
            <w:tcW w:w="0" w:type="auto"/>
            <w:vAlign w:val="center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vAlign w:val="center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</w:tr>
      <w:tr w:rsidR="00190E53" w:rsidRPr="00C32DD7" w:rsidTr="00E93A97">
        <w:trPr>
          <w:trHeight w:val="254"/>
        </w:trPr>
        <w:tc>
          <w:tcPr>
            <w:tcW w:w="3272" w:type="dxa"/>
            <w:vAlign w:val="center"/>
          </w:tcPr>
          <w:p w:rsidR="00190E53" w:rsidRPr="00C32DD7" w:rsidRDefault="00190E53" w:rsidP="00E93A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1.040,1 – 1.160 (30%)</w:t>
            </w:r>
          </w:p>
        </w:tc>
        <w:tc>
          <w:tcPr>
            <w:tcW w:w="3346" w:type="dxa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30%</w:t>
            </w:r>
          </w:p>
        </w:tc>
        <w:tc>
          <w:tcPr>
            <w:tcW w:w="0" w:type="auto"/>
            <w:vAlign w:val="center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0" w:type="auto"/>
            <w:vAlign w:val="center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vAlign w:val="center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96</w:t>
            </w:r>
          </w:p>
        </w:tc>
      </w:tr>
      <w:tr w:rsidR="00190E53" w:rsidRPr="00C32DD7" w:rsidTr="00E93A97">
        <w:trPr>
          <w:trHeight w:val="254"/>
        </w:trPr>
        <w:tc>
          <w:tcPr>
            <w:tcW w:w="3272" w:type="dxa"/>
            <w:vAlign w:val="center"/>
          </w:tcPr>
          <w:p w:rsidR="00190E53" w:rsidRPr="00C32DD7" w:rsidRDefault="00190E53" w:rsidP="00E93A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lastRenderedPageBreak/>
              <w:t>1.160,1 – 1.280 (20%)</w:t>
            </w:r>
          </w:p>
        </w:tc>
        <w:tc>
          <w:tcPr>
            <w:tcW w:w="3346" w:type="dxa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0" w:type="auto"/>
            <w:vAlign w:val="center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190E53" w:rsidRPr="00C32DD7" w:rsidTr="00E93A97">
        <w:trPr>
          <w:trHeight w:val="374"/>
        </w:trPr>
        <w:tc>
          <w:tcPr>
            <w:tcW w:w="3272" w:type="dxa"/>
            <w:vAlign w:val="center"/>
          </w:tcPr>
          <w:p w:rsidR="00190E53" w:rsidRPr="00C32DD7" w:rsidRDefault="00190E53" w:rsidP="00E93A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1.280,1 – 1.386 (10%) – pe membru de familie</w:t>
            </w:r>
          </w:p>
        </w:tc>
        <w:tc>
          <w:tcPr>
            <w:tcW w:w="3346" w:type="dxa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0" w:type="auto"/>
            <w:vAlign w:val="center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190E53" w:rsidRPr="00C32DD7" w:rsidTr="00E93A97">
        <w:trPr>
          <w:trHeight w:val="374"/>
        </w:trPr>
        <w:tc>
          <w:tcPr>
            <w:tcW w:w="3272" w:type="dxa"/>
            <w:vAlign w:val="center"/>
          </w:tcPr>
          <w:p w:rsidR="00190E53" w:rsidRPr="002E42ED" w:rsidRDefault="00190E53" w:rsidP="00E93A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42ED">
              <w:rPr>
                <w:rFonts w:ascii="Arial" w:hAnsi="Arial" w:cs="Arial"/>
                <w:sz w:val="16"/>
                <w:szCs w:val="16"/>
              </w:rPr>
              <w:t>1.280,1 – 2.053 (10%) – persoana singură</w:t>
            </w:r>
          </w:p>
        </w:tc>
        <w:tc>
          <w:tcPr>
            <w:tcW w:w="3346" w:type="dxa"/>
          </w:tcPr>
          <w:p w:rsidR="00190E53" w:rsidRPr="002E42ED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42ED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0" w:type="auto"/>
            <w:vAlign w:val="center"/>
          </w:tcPr>
          <w:p w:rsidR="00190E53" w:rsidRPr="002E42ED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42ED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</w:tcPr>
          <w:p w:rsidR="00190E53" w:rsidRPr="002E42ED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42ED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190E53" w:rsidRPr="002E42ED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42ED"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190E53" w:rsidRPr="00C32DD7" w:rsidTr="00E93A97">
        <w:trPr>
          <w:trHeight w:val="254"/>
        </w:trPr>
        <w:tc>
          <w:tcPr>
            <w:tcW w:w="3272" w:type="dxa"/>
            <w:vAlign w:val="center"/>
          </w:tcPr>
          <w:p w:rsidR="00190E53" w:rsidRPr="00C32DD7" w:rsidRDefault="00190E53" w:rsidP="00E93A9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32DD7">
              <w:rPr>
                <w:rFonts w:ascii="Arial" w:hAnsi="Arial" w:cs="Arial"/>
                <w:b/>
                <w:sz w:val="16"/>
                <w:szCs w:val="16"/>
              </w:rPr>
              <w:t>Supliment pentru energie</w:t>
            </w:r>
          </w:p>
        </w:tc>
        <w:tc>
          <w:tcPr>
            <w:tcW w:w="3346" w:type="dxa"/>
            <w:vAlign w:val="center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30 (70 lei*)</w:t>
            </w:r>
          </w:p>
        </w:tc>
        <w:tc>
          <w:tcPr>
            <w:tcW w:w="0" w:type="auto"/>
            <w:vAlign w:val="center"/>
          </w:tcPr>
          <w:p w:rsidR="00190E53" w:rsidRPr="00C32DD7" w:rsidRDefault="00190E53" w:rsidP="00E9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DD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</w:tbl>
    <w:p w:rsidR="00190E53" w:rsidRPr="00190E53" w:rsidRDefault="00190E53" w:rsidP="00190E53">
      <w:pPr>
        <w:pStyle w:val="ListParagraph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190E53">
        <w:rPr>
          <w:rFonts w:ascii="Arial" w:hAnsi="Arial" w:cs="Arial"/>
          <w:sz w:val="16"/>
          <w:szCs w:val="16"/>
        </w:rPr>
        <w:t xml:space="preserve">        *În situația în care singura sursă de energie utilizată este energia electrică, cuantumul s</w:t>
      </w:r>
      <w:r>
        <w:rPr>
          <w:rFonts w:ascii="Arial" w:hAnsi="Arial" w:cs="Arial"/>
          <w:sz w:val="16"/>
          <w:szCs w:val="16"/>
        </w:rPr>
        <w:t>uplimentului este de 70 lei/lun</w:t>
      </w:r>
    </w:p>
    <w:p w:rsidR="00AC5A2F" w:rsidRPr="00190E53" w:rsidRDefault="00AC5A2F" w:rsidP="007934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5A2F" w:rsidRPr="00190E53" w:rsidRDefault="00040E40" w:rsidP="00AC5A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E53">
        <w:rPr>
          <w:rFonts w:ascii="Times New Roman" w:hAnsi="Times New Roman" w:cs="Times New Roman"/>
          <w:b/>
          <w:sz w:val="24"/>
          <w:szCs w:val="24"/>
        </w:rPr>
        <w:t>ACTE NECESARE PENTRU ACORDAREA AJUTOARELOR PENTRU ÎNCĂLZIREA LOCUINŢEI ȘI A SUPLIMENTULUI PENTRU ENERGIE CONFORM LEGII NR.226/16.09.2021</w:t>
      </w:r>
    </w:p>
    <w:p w:rsidR="00AC5A2F" w:rsidRPr="00190E53" w:rsidRDefault="00AC5A2F" w:rsidP="00AC5A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432" w:rsidRPr="00AC5A2F" w:rsidRDefault="00AC5A2F" w:rsidP="00AC5A2F">
      <w:pPr>
        <w:rPr>
          <w:rFonts w:ascii="Times New Roman" w:hAnsi="Times New Roman" w:cs="Times New Roman"/>
          <w:b/>
          <w:sz w:val="24"/>
          <w:szCs w:val="24"/>
        </w:rPr>
      </w:pPr>
      <w:r w:rsidRPr="007542A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o-RO"/>
        </w:rPr>
        <w:t>1. CERERE – DECLARAŢIE PE PROPRIE RĂSPUNDERE – formular tipizat</w:t>
      </w:r>
      <w:r w:rsidRPr="007542A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 </w:t>
      </w:r>
    </w:p>
    <w:p w:rsidR="004E4187" w:rsidRDefault="00AC5A2F" w:rsidP="007934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A2F">
        <w:rPr>
          <w:rFonts w:ascii="Times New Roman" w:hAnsi="Times New Roman" w:cs="Times New Roman"/>
          <w:b/>
          <w:sz w:val="24"/>
          <w:szCs w:val="24"/>
        </w:rPr>
        <w:t>2</w:t>
      </w:r>
      <w:r w:rsidR="00040E40" w:rsidRPr="00AC5A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4187">
        <w:rPr>
          <w:rFonts w:ascii="Times New Roman" w:hAnsi="Times New Roman" w:cs="Times New Roman"/>
          <w:b/>
          <w:sz w:val="24"/>
          <w:szCs w:val="24"/>
        </w:rPr>
        <w:t>Componența familiei: documente de identitate în termen de valabilitate pentru titular și membrii înclusi în cerere</w:t>
      </w:r>
    </w:p>
    <w:p w:rsidR="00040E40" w:rsidRPr="00F601DF" w:rsidRDefault="00040E40" w:rsidP="00F601DF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01DF">
        <w:rPr>
          <w:rFonts w:ascii="Times New Roman" w:hAnsi="Times New Roman" w:cs="Times New Roman"/>
          <w:sz w:val="24"/>
          <w:szCs w:val="24"/>
        </w:rPr>
        <w:t>copii după BI-CI;</w:t>
      </w:r>
    </w:p>
    <w:p w:rsidR="00F601DF" w:rsidRDefault="00040E40" w:rsidP="0079343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01DF">
        <w:rPr>
          <w:rFonts w:ascii="Times New Roman" w:hAnsi="Times New Roman" w:cs="Times New Roman"/>
          <w:sz w:val="24"/>
          <w:szCs w:val="24"/>
        </w:rPr>
        <w:t xml:space="preserve">certificatele de naştere ale copiilor; </w:t>
      </w:r>
    </w:p>
    <w:p w:rsidR="00F601DF" w:rsidRDefault="00F601DF" w:rsidP="0079343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certificatul de căsătorie, de divort</w:t>
      </w:r>
    </w:p>
    <w:p w:rsidR="00F601DF" w:rsidRDefault="00040E40" w:rsidP="0079343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01DF">
        <w:rPr>
          <w:rFonts w:ascii="Times New Roman" w:hAnsi="Times New Roman" w:cs="Times New Roman"/>
          <w:sz w:val="24"/>
          <w:szCs w:val="24"/>
        </w:rPr>
        <w:t xml:space="preserve">alte acte (hotărârea definitivă de încuviinţare a adopţiei, de plasament familial al minorului, potrivit legii, actul din care să rezulte calitatea solicitantului de tutore sau curator); </w:t>
      </w:r>
    </w:p>
    <w:p w:rsidR="00040E40" w:rsidRPr="00F601DF" w:rsidRDefault="00040E40" w:rsidP="0079343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01DF">
        <w:rPr>
          <w:rFonts w:ascii="Times New Roman" w:hAnsi="Times New Roman" w:cs="Times New Roman"/>
          <w:sz w:val="24"/>
          <w:szCs w:val="24"/>
        </w:rPr>
        <w:t>adeverință de la Facultate pentru studenți, din care să rezulte dacă beneficiază sau nu de bursă;</w:t>
      </w:r>
    </w:p>
    <w:p w:rsidR="00040E40" w:rsidRPr="00AC5A2F" w:rsidRDefault="00AC5A2F" w:rsidP="0079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40E40" w:rsidRPr="00AC5A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4187">
        <w:rPr>
          <w:rFonts w:ascii="Times New Roman" w:hAnsi="Times New Roman" w:cs="Times New Roman"/>
          <w:b/>
          <w:sz w:val="24"/>
          <w:szCs w:val="24"/>
        </w:rPr>
        <w:t>Venituri:</w:t>
      </w:r>
    </w:p>
    <w:p w:rsidR="003F25C9" w:rsidRDefault="004E4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Acte privind veniturile realizate </w:t>
      </w:r>
      <w:r w:rsidR="003F25C9">
        <w:rPr>
          <w:rFonts w:ascii="Times New Roman" w:hAnsi="Times New Roman" w:cs="Times New Roman"/>
          <w:sz w:val="24"/>
          <w:szCs w:val="24"/>
        </w:rPr>
        <w:t>de toți membrii familiei sau de toate persoanele care au aceeași domiciliu, resedința</w:t>
      </w:r>
      <w:r w:rsidR="00667460">
        <w:rPr>
          <w:rFonts w:ascii="Times New Roman" w:hAnsi="Times New Roman" w:cs="Times New Roman"/>
          <w:sz w:val="24"/>
          <w:szCs w:val="24"/>
        </w:rPr>
        <w:t>, domiciliază</w:t>
      </w:r>
      <w:r w:rsidR="003F25C9">
        <w:rPr>
          <w:rFonts w:ascii="Times New Roman" w:hAnsi="Times New Roman" w:cs="Times New Roman"/>
          <w:sz w:val="24"/>
          <w:szCs w:val="24"/>
        </w:rPr>
        <w:t xml:space="preserve"> la aceeasi adresă și sunt luate în calcul la cheltuielile comune ale acesteia, sau după caz, de persoana singură, în luna anterioară depunerii cererii:</w:t>
      </w:r>
      <w:r w:rsidR="00667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5C9" w:rsidRPr="00F601DF" w:rsidRDefault="003F25C9" w:rsidP="00F601D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601DF">
        <w:rPr>
          <w:rFonts w:ascii="Times New Roman" w:hAnsi="Times New Roman" w:cs="Times New Roman"/>
          <w:sz w:val="24"/>
          <w:szCs w:val="24"/>
        </w:rPr>
        <w:t>adeverință de venit  eliberate de angajator, pentru veniturile din salariu(salar net cu menţiunea daca beneficiază sau nu de bonuri de masă</w:t>
      </w:r>
    </w:p>
    <w:p w:rsidR="00F601DF" w:rsidRPr="00F601DF" w:rsidRDefault="00F601DF" w:rsidP="00F601DF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601DF">
        <w:rPr>
          <w:rFonts w:ascii="Times New Roman" w:eastAsia="Times New Roman" w:hAnsi="Times New Roman" w:cs="Times New Roman"/>
          <w:sz w:val="24"/>
          <w:szCs w:val="24"/>
          <w:lang w:eastAsia="ro-RO"/>
        </w:rPr>
        <w:t>adeverințe de venit de la ANAF pentru toți membrii majori ai familiei, inclusiv pentru veniturile din activități independente, din cedarea folosinței bunurilor, din investiții, din premii și jocuri de noroc;</w:t>
      </w:r>
    </w:p>
    <w:p w:rsidR="00F601DF" w:rsidRPr="00F601DF" w:rsidRDefault="00F601DF" w:rsidP="00F601DF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601D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cupon orice tip de pensie</w:t>
      </w:r>
      <w:r w:rsidRPr="00F601DF">
        <w:rPr>
          <w:rFonts w:ascii="Times New Roman" w:eastAsia="Times New Roman" w:hAnsi="Times New Roman" w:cs="Times New Roman"/>
          <w:sz w:val="24"/>
          <w:szCs w:val="24"/>
          <w:lang w:eastAsia="ro-RO"/>
        </w:rPr>
        <w:t> pe </w:t>
      </w:r>
      <w:r w:rsidRPr="00F601D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luna august 2024 + luna octombrie 2024 și ultima decizie de recalculare a oricărui tip de pensie</w:t>
      </w:r>
      <w:r w:rsidRPr="00F601DF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</w:p>
    <w:p w:rsidR="00F601DF" w:rsidRPr="00F601DF" w:rsidRDefault="00F601DF" w:rsidP="00F601DF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601DF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cupon indemnizație șomaj, indemnizație handicap, întreținere etc.;</w:t>
      </w:r>
    </w:p>
    <w:p w:rsidR="00F601DF" w:rsidRDefault="00F601DF" w:rsidP="00AC5A2F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601D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dovada oricărui tip de venit</w:t>
      </w:r>
    </w:p>
    <w:p w:rsidR="00F601DF" w:rsidRDefault="00AC5A2F" w:rsidP="00441065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601DF">
        <w:rPr>
          <w:rFonts w:ascii="Times New Roman" w:hAnsi="Times New Roman" w:cs="Times New Roman"/>
          <w:sz w:val="24"/>
          <w:szCs w:val="24"/>
        </w:rPr>
        <w:t xml:space="preserve">adeverință de rol agricol </w:t>
      </w:r>
      <w:r w:rsidR="00F601DF" w:rsidRPr="00F601DF">
        <w:rPr>
          <w:rFonts w:ascii="Times New Roman" w:eastAsia="Times New Roman" w:hAnsi="Times New Roman" w:cs="Times New Roman"/>
          <w:kern w:val="36"/>
          <w:sz w:val="24"/>
          <w:szCs w:val="24"/>
          <w:lang w:eastAsia="ro-RO"/>
        </w:rPr>
        <w:t>privind terenurile sau animalele aflate în proprietatea persoanelor cuprinse în cerere</w:t>
      </w:r>
      <w:r w:rsidR="00F601DF" w:rsidRPr="00F601DF">
        <w:rPr>
          <w:rFonts w:ascii="Times New Roman" w:hAnsi="Times New Roman" w:cs="Times New Roman"/>
          <w:sz w:val="24"/>
          <w:szCs w:val="24"/>
        </w:rPr>
        <w:t xml:space="preserve"> </w:t>
      </w:r>
      <w:r w:rsidRPr="00F601DF">
        <w:rPr>
          <w:rFonts w:ascii="Times New Roman" w:hAnsi="Times New Roman" w:cs="Times New Roman"/>
          <w:sz w:val="24"/>
          <w:szCs w:val="24"/>
        </w:rPr>
        <w:t>(inclusiv in alte localități);</w:t>
      </w:r>
    </w:p>
    <w:p w:rsidR="00441065" w:rsidRPr="00F601DF" w:rsidRDefault="00441065" w:rsidP="00441065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601DF">
        <w:rPr>
          <w:rFonts w:ascii="Times New Roman" w:hAnsi="Times New Roman" w:cs="Times New Roman"/>
          <w:sz w:val="24"/>
          <w:szCs w:val="24"/>
        </w:rPr>
        <w:t>decizia de impunere pentru persoanele care realizează venituri din activități independente sau chirii;</w:t>
      </w:r>
    </w:p>
    <w:p w:rsidR="00441065" w:rsidRPr="00AC5A2F" w:rsidRDefault="00441065" w:rsidP="00AC5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5A2F" w:rsidRPr="003F25C9" w:rsidRDefault="00AC5A2F" w:rsidP="00AC5A2F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93432" w:rsidRPr="00AC5A2F">
        <w:rPr>
          <w:rFonts w:ascii="Times New Roman" w:hAnsi="Times New Roman" w:cs="Times New Roman"/>
          <w:b/>
          <w:sz w:val="24"/>
          <w:szCs w:val="24"/>
        </w:rPr>
        <w:t>.</w:t>
      </w:r>
      <w:r w:rsidRPr="00AC5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5C9">
        <w:rPr>
          <w:rFonts w:ascii="Times New Roman" w:hAnsi="Times New Roman" w:cs="Times New Roman"/>
          <w:b/>
          <w:sz w:val="24"/>
          <w:szCs w:val="24"/>
        </w:rPr>
        <w:t xml:space="preserve">Locuință:- </w:t>
      </w:r>
      <w:r w:rsidR="00040E40" w:rsidRPr="00AC5A2F">
        <w:rPr>
          <w:rFonts w:ascii="Times New Roman" w:hAnsi="Times New Roman" w:cs="Times New Roman"/>
          <w:b/>
          <w:sz w:val="24"/>
          <w:szCs w:val="24"/>
        </w:rPr>
        <w:t>copie xerox după actul de proprietate, ori actul de închiriere, ori comodat, ori folosinţă sau certificat de atestare fiscala</w:t>
      </w:r>
    </w:p>
    <w:p w:rsidR="00F601DF" w:rsidRDefault="00AC5A2F" w:rsidP="00F601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7542A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o-RO"/>
        </w:rPr>
        <w:t>5. DOVADA BUNURILOR MOBILE ŞI IMOBILE DEŢINUTE:</w:t>
      </w:r>
    </w:p>
    <w:p w:rsidR="00F601DF" w:rsidRPr="00F601DF" w:rsidRDefault="00AC5A2F" w:rsidP="00F601DF">
      <w:pPr>
        <w:pStyle w:val="ListParagraph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F601D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Certificatul de înmatriculare / talon auto pentru mijloacele de transport deținute de persoanele cuprinse în cerere</w:t>
      </w:r>
    </w:p>
    <w:p w:rsidR="00F601DF" w:rsidRPr="00F601DF" w:rsidRDefault="00AC5A2F" w:rsidP="00F601DF">
      <w:pPr>
        <w:pStyle w:val="ListParagraph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F601DF">
        <w:rPr>
          <w:rFonts w:ascii="Times New Roman" w:eastAsia="Times New Roman" w:hAnsi="Times New Roman" w:cs="Times New Roman"/>
          <w:kern w:val="36"/>
          <w:sz w:val="24"/>
          <w:szCs w:val="24"/>
          <w:lang w:eastAsia="ro-RO"/>
        </w:rPr>
        <w:t>Certificat fiscal pentru toți membrii majori din cerere</w:t>
      </w:r>
    </w:p>
    <w:p w:rsidR="003F25C9" w:rsidRPr="00F601DF" w:rsidRDefault="00F601DF" w:rsidP="00F601DF">
      <w:pPr>
        <w:pStyle w:val="ListParagraph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F601D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extras de cont la zi și pentru luna anterioară</w:t>
      </w:r>
      <w:r w:rsidRPr="00F601DF">
        <w:rPr>
          <w:rFonts w:ascii="Times New Roman" w:eastAsia="Times New Roman" w:hAnsi="Times New Roman" w:cs="Times New Roman"/>
          <w:sz w:val="24"/>
          <w:szCs w:val="24"/>
          <w:lang w:eastAsia="ro-RO"/>
        </w:rPr>
        <w:t> depunerii cere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rii, pentru deținătorii de cont</w:t>
      </w:r>
      <w:bookmarkStart w:id="0" w:name="_GoBack"/>
      <w:bookmarkEnd w:id="0"/>
    </w:p>
    <w:p w:rsidR="00190E53" w:rsidRPr="007542AA" w:rsidRDefault="00AC5A2F" w:rsidP="00AC5A2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o-RO"/>
        </w:rPr>
      </w:pPr>
      <w:r w:rsidRPr="00AC5A2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o-RO"/>
        </w:rPr>
        <w:t>6</w:t>
      </w:r>
      <w:r w:rsidRPr="007E1B9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o-RO"/>
        </w:rPr>
        <w:t xml:space="preserve">. FACTURĂ </w:t>
      </w:r>
      <w:r w:rsidR="003F25C9" w:rsidRPr="007E1B9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o-RO"/>
        </w:rPr>
        <w:t>DE CURENT</w:t>
      </w:r>
      <w:r w:rsidRPr="007542AA">
        <w:rPr>
          <w:rFonts w:ascii="Times New Roman" w:eastAsia="Times New Roman" w:hAnsi="Times New Roman" w:cs="Times New Roman"/>
          <w:kern w:val="36"/>
          <w:sz w:val="24"/>
          <w:szCs w:val="24"/>
          <w:lang w:eastAsia="ro-RO"/>
        </w:rPr>
        <w:t>– necesar pentru datele de identificare ale furnizorului, codul de client, codul locului de consum</w:t>
      </w:r>
    </w:p>
    <w:p w:rsidR="00AC5A2F" w:rsidRPr="007542AA" w:rsidRDefault="00AC5A2F" w:rsidP="00AC5A2F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542A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Pentru ajutorul de încălzire (pe perioada sezonului rece) – se bifează un singur sistem !!!</w:t>
      </w:r>
    </w:p>
    <w:p w:rsidR="00AC5A2F" w:rsidRPr="007542AA" w:rsidRDefault="00AC5A2F" w:rsidP="00AC5A2F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542A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gaze naturale</w:t>
      </w:r>
      <w:r w:rsidRPr="007542AA">
        <w:rPr>
          <w:rFonts w:ascii="Times New Roman" w:eastAsia="Times New Roman" w:hAnsi="Times New Roman" w:cs="Times New Roman"/>
          <w:sz w:val="24"/>
          <w:szCs w:val="24"/>
          <w:lang w:eastAsia="ro-RO"/>
        </w:rPr>
        <w:t> – se atașează ultima factură emisă de furnizor</w:t>
      </w:r>
    </w:p>
    <w:p w:rsidR="00AC5A2F" w:rsidRPr="007542AA" w:rsidRDefault="00AC5A2F" w:rsidP="00AC5A2F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542A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energie electrică</w:t>
      </w:r>
      <w:r w:rsidRPr="007542AA">
        <w:rPr>
          <w:rFonts w:ascii="Times New Roman" w:eastAsia="Times New Roman" w:hAnsi="Times New Roman" w:cs="Times New Roman"/>
          <w:sz w:val="24"/>
          <w:szCs w:val="24"/>
          <w:lang w:eastAsia="ro-RO"/>
        </w:rPr>
        <w:t> – se atașează ultima factură emisă de furnizor</w:t>
      </w:r>
    </w:p>
    <w:p w:rsidR="00AC5A2F" w:rsidRPr="007542AA" w:rsidRDefault="00AC5A2F" w:rsidP="00AC5A2F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542A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combustibili solizi și petrolieri (lemne)</w:t>
      </w:r>
      <w:r w:rsidRPr="007542AA">
        <w:rPr>
          <w:rFonts w:ascii="Times New Roman" w:eastAsia="Times New Roman" w:hAnsi="Times New Roman" w:cs="Times New Roman"/>
          <w:sz w:val="24"/>
          <w:szCs w:val="24"/>
          <w:lang w:eastAsia="ro-RO"/>
        </w:rPr>
        <w:t> – se bifează căsuța corespunzătoare</w:t>
      </w:r>
    </w:p>
    <w:p w:rsidR="00AC5A2F" w:rsidRPr="007542AA" w:rsidRDefault="00AC5A2F" w:rsidP="00AC5A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542AA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AC5A2F" w:rsidRPr="007542AA" w:rsidRDefault="00AC5A2F" w:rsidP="00AC5A2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o-RO"/>
        </w:rPr>
      </w:pPr>
      <w:r w:rsidRPr="007542AA">
        <w:rPr>
          <w:rFonts w:ascii="Times New Roman" w:eastAsia="Times New Roman" w:hAnsi="Times New Roman" w:cs="Times New Roman"/>
          <w:kern w:val="36"/>
          <w:sz w:val="24"/>
          <w:szCs w:val="24"/>
          <w:lang w:eastAsia="ro-RO"/>
        </w:rPr>
        <w:t>      Pentru consumul energetic – supliment pentru energie (pe tot parcursul anului) – se pot bifa mai multe surse de energie și se va atașa factură la fiecare sursă bifată</w:t>
      </w:r>
    </w:p>
    <w:p w:rsidR="00AC5A2F" w:rsidRPr="007542AA" w:rsidRDefault="00AC5A2F" w:rsidP="00AC5A2F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542A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gaze naturale</w:t>
      </w:r>
      <w:r w:rsidRPr="007542AA">
        <w:rPr>
          <w:rFonts w:ascii="Times New Roman" w:eastAsia="Times New Roman" w:hAnsi="Times New Roman" w:cs="Times New Roman"/>
          <w:sz w:val="24"/>
          <w:szCs w:val="24"/>
          <w:lang w:eastAsia="ro-RO"/>
        </w:rPr>
        <w:t> – se atașează ultima factură emisă de furnizor</w:t>
      </w:r>
    </w:p>
    <w:p w:rsidR="00AC5A2F" w:rsidRPr="007542AA" w:rsidRDefault="00AC5A2F" w:rsidP="00AC5A2F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542A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energie electrică</w:t>
      </w:r>
      <w:r w:rsidRPr="007542AA">
        <w:rPr>
          <w:rFonts w:ascii="Times New Roman" w:eastAsia="Times New Roman" w:hAnsi="Times New Roman" w:cs="Times New Roman"/>
          <w:sz w:val="24"/>
          <w:szCs w:val="24"/>
          <w:lang w:eastAsia="ro-RO"/>
        </w:rPr>
        <w:t> – se atașează ultima factură emisă de furnizor</w:t>
      </w:r>
    </w:p>
    <w:p w:rsidR="00AC5A2F" w:rsidRPr="007542AA" w:rsidRDefault="00AC5A2F" w:rsidP="00AC5A2F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542A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combustibili solizi și petrolieri (lemne)</w:t>
      </w:r>
      <w:r w:rsidRPr="007542AA">
        <w:rPr>
          <w:rFonts w:ascii="Times New Roman" w:eastAsia="Times New Roman" w:hAnsi="Times New Roman" w:cs="Times New Roman"/>
          <w:sz w:val="24"/>
          <w:szCs w:val="24"/>
          <w:lang w:eastAsia="ro-RO"/>
        </w:rPr>
        <w:t> – se bifează căsuța corespunzătoare</w:t>
      </w:r>
    </w:p>
    <w:p w:rsidR="00AC5A2F" w:rsidRPr="007542AA" w:rsidRDefault="00AC5A2F" w:rsidP="00AC5A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542AA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AC5A2F" w:rsidRPr="00190E53" w:rsidRDefault="00AC5A2F" w:rsidP="00190E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542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  !!! TITULARUL CERERII TREBUIE ȘĂ FIE ȘI TITULARUL DE CONTRACT INDIVIDUAL CU FURNIZORII DE ENERGIE ELECTRICĂ </w:t>
      </w:r>
    </w:p>
    <w:p w:rsidR="00793432" w:rsidRPr="00AC5A2F" w:rsidRDefault="00793432">
      <w:pPr>
        <w:rPr>
          <w:rFonts w:ascii="Times New Roman" w:hAnsi="Times New Roman" w:cs="Times New Roman"/>
          <w:b/>
          <w:sz w:val="24"/>
          <w:szCs w:val="24"/>
        </w:rPr>
      </w:pPr>
    </w:p>
    <w:p w:rsidR="00040E40" w:rsidRPr="00AC5A2F" w:rsidRDefault="00040E40" w:rsidP="007934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A2F">
        <w:rPr>
          <w:rFonts w:ascii="Times New Roman" w:hAnsi="Times New Roman" w:cs="Times New Roman"/>
          <w:b/>
          <w:sz w:val="24"/>
          <w:szCs w:val="24"/>
        </w:rPr>
        <w:t>OBLIGAŢIILE BENEFICIARILOR DE AJUTOARE PENTRU ÎNCĂLZIREA LOCUINŢEI / SUPLIMENTULUI PENTRU ENERGIE:</w:t>
      </w:r>
    </w:p>
    <w:p w:rsidR="00040E40" w:rsidRPr="00AC5A2F" w:rsidRDefault="00040E40">
      <w:pPr>
        <w:rPr>
          <w:rFonts w:ascii="Times New Roman" w:hAnsi="Times New Roman" w:cs="Times New Roman"/>
          <w:sz w:val="24"/>
          <w:szCs w:val="24"/>
        </w:rPr>
      </w:pPr>
      <w:r w:rsidRPr="00AC5A2F">
        <w:rPr>
          <w:rFonts w:ascii="Times New Roman" w:hAnsi="Times New Roman" w:cs="Times New Roman"/>
          <w:sz w:val="24"/>
          <w:szCs w:val="24"/>
        </w:rPr>
        <w:t xml:space="preserve">1. Declararea tuturor bunurilor deţinute, iar dacă acestea duc la excluderea dreptului nu se mai depune depune cererea pentru acordarea dreptului. </w:t>
      </w:r>
    </w:p>
    <w:p w:rsidR="00040E40" w:rsidRPr="00AC5A2F" w:rsidRDefault="00040E40">
      <w:pPr>
        <w:rPr>
          <w:rFonts w:ascii="Times New Roman" w:hAnsi="Times New Roman" w:cs="Times New Roman"/>
          <w:sz w:val="24"/>
          <w:szCs w:val="24"/>
        </w:rPr>
      </w:pPr>
      <w:r w:rsidRPr="00AC5A2F">
        <w:rPr>
          <w:rFonts w:ascii="Times New Roman" w:hAnsi="Times New Roman" w:cs="Times New Roman"/>
          <w:sz w:val="24"/>
          <w:szCs w:val="24"/>
        </w:rPr>
        <w:t xml:space="preserve">2. Comunicarea în scris a modificărilor cu privire la componenţa familiei; </w:t>
      </w:r>
    </w:p>
    <w:p w:rsidR="00040E40" w:rsidRPr="00AC5A2F" w:rsidRDefault="00040E40">
      <w:pPr>
        <w:rPr>
          <w:rFonts w:ascii="Times New Roman" w:hAnsi="Times New Roman" w:cs="Times New Roman"/>
          <w:sz w:val="24"/>
          <w:szCs w:val="24"/>
        </w:rPr>
      </w:pPr>
      <w:r w:rsidRPr="00AC5A2F">
        <w:rPr>
          <w:rFonts w:ascii="Times New Roman" w:hAnsi="Times New Roman" w:cs="Times New Roman"/>
          <w:sz w:val="24"/>
          <w:szCs w:val="24"/>
        </w:rPr>
        <w:t>3. Comunicarea în scris a modificărilor veniturilor realizate de membrii acesteia, prin depunerea unei noi cereri şi declaraţii pe proprie răspundere, însoţită de actele justificative, la sediul Primăriei</w:t>
      </w:r>
      <w:r w:rsidR="00793432" w:rsidRPr="00AC5A2F">
        <w:rPr>
          <w:rFonts w:ascii="Times New Roman" w:hAnsi="Times New Roman" w:cs="Times New Roman"/>
          <w:sz w:val="24"/>
          <w:szCs w:val="24"/>
        </w:rPr>
        <w:t xml:space="preserve"> comunei Sániob</w:t>
      </w:r>
      <w:r w:rsidRPr="00AC5A2F">
        <w:rPr>
          <w:rFonts w:ascii="Times New Roman" w:hAnsi="Times New Roman" w:cs="Times New Roman"/>
          <w:sz w:val="24"/>
          <w:szCs w:val="24"/>
        </w:rPr>
        <w:t>.</w:t>
      </w:r>
    </w:p>
    <w:p w:rsidR="00040E40" w:rsidRPr="00AC5A2F" w:rsidRDefault="00040E40">
      <w:pPr>
        <w:rPr>
          <w:rFonts w:ascii="Times New Roman" w:hAnsi="Times New Roman" w:cs="Times New Roman"/>
          <w:sz w:val="24"/>
          <w:szCs w:val="24"/>
        </w:rPr>
      </w:pPr>
      <w:r w:rsidRPr="00AC5A2F">
        <w:rPr>
          <w:rFonts w:ascii="Times New Roman" w:hAnsi="Times New Roman" w:cs="Times New Roman"/>
          <w:sz w:val="24"/>
          <w:szCs w:val="24"/>
        </w:rPr>
        <w:t xml:space="preserve"> • Această obligaţie este imperativă, neîndeplinirea ei ducând la recuperarea în totalitate a ajutorului acordat, începând cu luna următoare producerii modificării. </w:t>
      </w:r>
    </w:p>
    <w:p w:rsidR="00040E40" w:rsidRPr="00AC5A2F" w:rsidRDefault="00040E40">
      <w:pPr>
        <w:rPr>
          <w:rFonts w:ascii="Times New Roman" w:hAnsi="Times New Roman" w:cs="Times New Roman"/>
          <w:sz w:val="24"/>
          <w:szCs w:val="24"/>
        </w:rPr>
      </w:pPr>
      <w:r w:rsidRPr="00AC5A2F">
        <w:rPr>
          <w:rFonts w:ascii="Times New Roman" w:hAnsi="Times New Roman" w:cs="Times New Roman"/>
          <w:sz w:val="24"/>
          <w:szCs w:val="24"/>
        </w:rPr>
        <w:t>• Nedeclararea corectă a componeneţei familiei/a veniturilor familiei/ a deţinerii de bunuri aflate în lista bunurilor care duc la neacordarea ajutorului reprezintă infracţiune şi va fi în mod obligatoriu sesizată organelor de urmărire penală.</w:t>
      </w:r>
    </w:p>
    <w:sectPr w:rsidR="00040E40" w:rsidRPr="00AC5A2F" w:rsidSect="00190E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713"/>
    <w:multiLevelType w:val="multilevel"/>
    <w:tmpl w:val="9DE6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9107D"/>
    <w:multiLevelType w:val="hybridMultilevel"/>
    <w:tmpl w:val="FCAC05D2"/>
    <w:lvl w:ilvl="0" w:tplc="6C209FD4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C9B71EA"/>
    <w:multiLevelType w:val="hybridMultilevel"/>
    <w:tmpl w:val="CDD4E64E"/>
    <w:lvl w:ilvl="0" w:tplc="4378A42C">
      <w:start w:val="3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2F1E4B8D"/>
    <w:multiLevelType w:val="multilevel"/>
    <w:tmpl w:val="6668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A33F9"/>
    <w:multiLevelType w:val="hybridMultilevel"/>
    <w:tmpl w:val="266432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073BB"/>
    <w:multiLevelType w:val="hybridMultilevel"/>
    <w:tmpl w:val="2D9AC6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56FF1"/>
    <w:multiLevelType w:val="hybridMultilevel"/>
    <w:tmpl w:val="31F8616E"/>
    <w:lvl w:ilvl="0" w:tplc="7DC0D51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31882"/>
    <w:multiLevelType w:val="multilevel"/>
    <w:tmpl w:val="C030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FA783E"/>
    <w:multiLevelType w:val="multilevel"/>
    <w:tmpl w:val="5DC22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200385"/>
    <w:multiLevelType w:val="multilevel"/>
    <w:tmpl w:val="5F8A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40"/>
    <w:rsid w:val="00040E40"/>
    <w:rsid w:val="001854CA"/>
    <w:rsid w:val="00190E53"/>
    <w:rsid w:val="002B4C3E"/>
    <w:rsid w:val="003F25C9"/>
    <w:rsid w:val="00441065"/>
    <w:rsid w:val="004E4187"/>
    <w:rsid w:val="00667460"/>
    <w:rsid w:val="00793432"/>
    <w:rsid w:val="007E1B9A"/>
    <w:rsid w:val="008517F1"/>
    <w:rsid w:val="00864B86"/>
    <w:rsid w:val="00AC5A2F"/>
    <w:rsid w:val="00F6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41812-FBA6-41C0-B163-328DAD90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C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5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8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853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Rauch Emese</dc:creator>
  <cp:keywords/>
  <dc:description/>
  <cp:lastModifiedBy>Rauch Emese</cp:lastModifiedBy>
  <cp:revision>6</cp:revision>
  <cp:lastPrinted>2023-11-01T08:44:00Z</cp:lastPrinted>
  <dcterms:created xsi:type="dcterms:W3CDTF">2024-10-30T09:54:00Z</dcterms:created>
  <dcterms:modified xsi:type="dcterms:W3CDTF">2024-10-30T13:38:00Z</dcterms:modified>
</cp:coreProperties>
</file>