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476F" w14:textId="77777777" w:rsidR="00CC0EBB" w:rsidRDefault="00CC0EBB" w:rsidP="005C3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EF4A6B8" w14:textId="77777777" w:rsidR="005C3CC1" w:rsidRPr="00376B72" w:rsidRDefault="005C3CC1" w:rsidP="00CC0E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Cerinţele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îndeplinite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oficiale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stupilor</w:t>
      </w:r>
      <w:proofErr w:type="spellEnd"/>
    </w:p>
    <w:p w14:paraId="6AACD907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do|ax1|caI|ar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D35752B" wp14:editId="66DCCD0F">
            <wp:extent cx="95250" cy="95250"/>
            <wp:effectExtent l="0" t="0" r="0" b="0"/>
            <wp:docPr id="197" name="do|ax1|caI|ar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1</w:t>
      </w:r>
    </w:p>
    <w:p w14:paraId="040EC8E0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1" w:name="do|ax1|caI|ar1|al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3FB39B81" wp14:editId="686182A5">
            <wp:extent cx="95250" cy="95250"/>
            <wp:effectExtent l="0" t="0" r="0" b="0"/>
            <wp:docPr id="198" name="do|ax1|caI|ar1|al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al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Panoul</w:t>
      </w:r>
      <w:proofErr w:type="spellEnd"/>
      <w:proofErr w:type="gram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:</w:t>
      </w:r>
    </w:p>
    <w:p w14:paraId="463CD8F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" w:name="do|ax1|caI|ar1|al1|lia"/>
      <w:bookmarkEnd w:id="2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a)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material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rezistent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deschisă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75D7B24" w14:textId="7564E038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3" w:name="do|ax1|caI|ar1|al1|lib"/>
      <w:bookmarkEnd w:id="3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b)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amplasat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orientat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spre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calea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exterioară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respectiv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drumul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9B984D1" w14:textId="77777777" w:rsidR="00C93687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4" w:name="do|ax1|caI|ar1|al1|lic"/>
      <w:bookmarkEnd w:id="4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c)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minimum 100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lungime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minimum 50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lăţime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.</w:t>
      </w:r>
    </w:p>
    <w:p w14:paraId="4439315C" w14:textId="715F8D38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F6C93C" wp14:editId="66CBA5DC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35242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0F91" w14:textId="17B59FB0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Numele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denumirea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APICULTORULUI</w:t>
                            </w:r>
                          </w:p>
                          <w:p w14:paraId="2DBBED31" w14:textId="1F19B213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</w:rPr>
                              <w:t>ADRESA VATRA PERMANENT</w:t>
                            </w: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Ă</w:t>
                            </w:r>
                          </w:p>
                          <w:p w14:paraId="37D13E06" w14:textId="222310DE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COD STUPINĂ  BH-0000</w:t>
                            </w:r>
                          </w:p>
                          <w:p w14:paraId="364AE87E" w14:textId="4E40E8B5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TIPUL STUPINEI: ELITĂ/MULTIPLICARE/PRODUCȚIE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C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0.05pt;width:277.5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NGIwIAAEc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">
                <v:textbox>
                  <w:txbxContent>
                    <w:p w14:paraId="61DB0F91" w14:textId="17B59FB0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Numele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denumirea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APICULTORULUI</w:t>
                      </w:r>
                    </w:p>
                    <w:p w14:paraId="2DBBED31" w14:textId="1F19B213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</w:rPr>
                        <w:t>ADRESA VATRA PERMANENT</w:t>
                      </w:r>
                      <w:r w:rsidRPr="00376B72">
                        <w:rPr>
                          <w:b/>
                          <w:bCs/>
                          <w:lang w:val="ro-RO"/>
                        </w:rPr>
                        <w:t>Ă</w:t>
                      </w:r>
                    </w:p>
                    <w:p w14:paraId="37D13E06" w14:textId="222310DE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COD STUPINĂ  BH-0000</w:t>
                      </w:r>
                    </w:p>
                    <w:p w14:paraId="364AE87E" w14:textId="4E40E8B5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TIPUL STUPINEI: ELITĂ/MULTIPLICARE/PRODUCȚIE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968C5" w14:textId="24AE7012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B207F00" w14:textId="029D59C7" w:rsid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989D931" w14:textId="685E2BF4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7FC929D8" w14:textId="63574D7C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27447E5E" w14:textId="09B09A58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71DCC4D" w14:textId="77777777" w:rsidR="008826D6" w:rsidRPr="00376B72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528F543" w14:textId="5EE74525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4172620" w14:textId="37CB9B2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5" w:name="do|ax1|caI|ar1|al2"/>
      <w:bookmarkEnd w:id="5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2)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Datele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înscriu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superioară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numele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adresa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vetrei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permanente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după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caz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inferioară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elită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multiplicare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producţie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71E71E5" w14:textId="0834754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6" w:name="do|ax1|caI|ar1|al3"/>
      <w:bookmarkEnd w:id="6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3)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afara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prevăzute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(2)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adăuga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sigla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formei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organizare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care face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parte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sigla/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a/ale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604109F" w14:textId="74CCEB42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7" w:name="do|ax1|caI|ar1|al4"/>
      <w:bookmarkEnd w:id="7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4)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Caracterele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minimă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10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acestora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încât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lizibilă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fundalul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A588821" w14:textId="77777777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</w:pPr>
      <w:bookmarkStart w:id="8" w:name="do|ax1|caI|ar2"/>
    </w:p>
    <w:p w14:paraId="64FE609A" w14:textId="1DCB4666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DDEB86" wp14:editId="7FA16FFB">
            <wp:extent cx="95250" cy="95250"/>
            <wp:effectExtent l="0" t="0" r="0" b="0"/>
            <wp:docPr id="199" name="do|ax1|caI|ar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2</w:t>
      </w:r>
    </w:p>
    <w:p w14:paraId="0DCCE0A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9" w:name="do|ax1|caI|ar2|pa1"/>
      <w:bookmarkEnd w:id="9"/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mijloacelor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se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realizează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apicultor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conform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stabilite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prezentul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7D3C91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0" w:name="do|ax1|caI|ar3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6F51FD92" wp14:editId="3779C0F3">
            <wp:extent cx="95250" cy="95250"/>
            <wp:effectExtent l="0" t="0" r="0" b="0"/>
            <wp:docPr id="200" name="do|ax1|caI|ar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3</w:t>
      </w:r>
    </w:p>
    <w:p w14:paraId="62D6C12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bookmarkStart w:id="11" w:name="do|ax1|caI|ar3|pa1"/>
      <w:bookmarkEnd w:id="11"/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identificarea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sunt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următoarele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:</w:t>
      </w:r>
    </w:p>
    <w:p w14:paraId="63BC3B9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2" w:name="do|ax1|caI|ar3|pt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4EC0E4E" wp14:editId="7EEDB2FA">
            <wp:extent cx="95250" cy="95250"/>
            <wp:effectExtent l="0" t="0" r="0" b="0"/>
            <wp:docPr id="201" name="do|ax1|caI|ar3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1.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pirogravarea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7482FC8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3" w:name="do|ax1|caI|ar3|pt1|pa1"/>
      <w:bookmarkEnd w:id="13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375DF08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4" w:name="do|ax1|caI|ar3|pt1|pa2"/>
      <w:bookmarkEnd w:id="14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9E097CD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5" w:name="do|ax1|caI|ar3|pt1|pa3"/>
      <w:bookmarkEnd w:id="15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fiecare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cifră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literă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are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lăţimea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înălţimea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3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82C4E85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6" w:name="do|ax1|caI|ar3|pt1|pa4"/>
      <w:bookmarkEnd w:id="16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folosind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metal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înroşit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electric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46CCFCE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en-GB"/>
        </w:rPr>
      </w:pPr>
      <w:bookmarkStart w:id="17" w:name="do|ax1|caI|ar3|pt2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F82F8E" wp14:editId="6F455BD6">
            <wp:extent cx="95250" cy="95250"/>
            <wp:effectExtent l="0" t="0" r="0" b="0"/>
            <wp:docPr id="202" name="do|ax1|caI|ar3|pt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8826D6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2.</w:t>
      </w:r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vopsirea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10E6FA0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8" w:name="do|ax1|caI|ar3|pt2|pa1"/>
      <w:bookmarkEnd w:id="18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61DD1AD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9" w:name="do|ax1|caI|ar3|pt2|pa2"/>
      <w:bookmarkEnd w:id="19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A5AF85A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0" w:name="do|ax1|caI|ar3|pt2|pa3"/>
      <w:bookmarkEnd w:id="20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cifră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literă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lăţimea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1 cm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înălţimea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3 cm,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0EF67D86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1" w:name="do|ax1|caI|ar3|pt2|pa4"/>
      <w:bookmarkEnd w:id="21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vopsirea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rezistentă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umiditate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temperaturile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extreme ale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mediului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ambiant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49DD40CB" w14:textId="77777777" w:rsidR="00EF1232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0287EB9" w14:textId="0AE337B8" w:rsidR="007108BF" w:rsidRPr="008826D6" w:rsidRDefault="005C3CC1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sunt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</w:p>
    <w:p w14:paraId="62ADA486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7</w:t>
      </w:r>
    </w:p>
    <w:p w14:paraId="3A8D8F42" w14:textId="2DD0BBFA" w:rsid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2" w:name="do|ax1|caII|ar7|al1"/>
      <w:bookmarkEnd w:id="22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sunt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septembrie-31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decembrie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la ANZ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propria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conţin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pregătite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iernat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cărei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model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prevăzut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anexa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nr. 4.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propria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ca document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scanat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3BC83698" w14:textId="77777777" w:rsidR="00EF1232" w:rsidRPr="008826D6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3E053FC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3" w:name="do|ax1|caII|ar8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eastAsia="en-GB"/>
        </w:rPr>
        <w:drawing>
          <wp:inline distT="0" distB="0" distL="0" distR="0" wp14:anchorId="19C1B9AC" wp14:editId="37FCB0D6">
            <wp:extent cx="95250" cy="95250"/>
            <wp:effectExtent l="0" t="0" r="0" b="0"/>
            <wp:docPr id="212" name="do|ax1|caII|ar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8</w:t>
      </w:r>
    </w:p>
    <w:p w14:paraId="4002C715" w14:textId="69711C02" w:rsid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24" w:name="do|ax1|caII|ar8|al1"/>
      <w:bookmarkEnd w:id="24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duce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îndeplinire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respectarea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maximum 30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zile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data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primirii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OJZ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34C752F" w14:textId="1A83C7CC" w:rsidR="00444991" w:rsidRPr="00444991" w:rsidRDefault="00444991" w:rsidP="0044499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(</w:t>
      </w:r>
      <w:proofErr w:type="gram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la</w:t>
      </w:r>
      <w:proofErr w:type="gram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data 08-Mar-2022 Art. 8,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alin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. (2) din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anexa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1,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capitolul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II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abrogat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de Art. I din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Ordinul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37/</w:t>
      </w:r>
      <w:proofErr w:type="gram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2022 )</w:t>
      </w:r>
      <w:proofErr w:type="gramEnd"/>
    </w:p>
    <w:p w14:paraId="037B574C" w14:textId="77777777" w:rsidR="00EF1232" w:rsidRPr="008826D6" w:rsidRDefault="00EF1232" w:rsidP="008826D6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25" w:name="do|ax1|caII|ar8|al2"/>
      <w:bookmarkEnd w:id="25"/>
    </w:p>
    <w:p w14:paraId="3EF401BB" w14:textId="75BB81A8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Cererile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56A1014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</w:p>
    <w:p w14:paraId="4EA25B0A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6" w:name="do|ax1|caII|ar11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eastAsia="en-GB"/>
        </w:rPr>
        <w:drawing>
          <wp:inline distT="0" distB="0" distL="0" distR="0" wp14:anchorId="0451D76E" wp14:editId="52C23CF3">
            <wp:extent cx="95250" cy="95250"/>
            <wp:effectExtent l="0" t="0" r="0" b="0"/>
            <wp:docPr id="2" name="do|ax1|caII|ar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11</w:t>
      </w:r>
    </w:p>
    <w:p w14:paraId="458B6819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7" w:name="do|ax1|caII|ar11|al1"/>
      <w:bookmarkEnd w:id="27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Cererile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1F3489D" w14:textId="3501823E" w:rsidR="005C3CC1" w:rsidRPr="008826D6" w:rsidRDefault="008826D6" w:rsidP="00C93687">
      <w:pPr>
        <w:spacing w:after="0" w:line="240" w:lineRule="auto"/>
        <w:jc w:val="both"/>
        <w:rPr>
          <w:sz w:val="24"/>
          <w:szCs w:val="24"/>
        </w:rPr>
      </w:pPr>
      <w:bookmarkStart w:id="28" w:name="do|ax1|caII|ar11|al2"/>
      <w:bookmarkEnd w:id="28"/>
      <w:r w:rsidRPr="00C93687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C93687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2)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proofErr w:type="gram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excepţie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prevederile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(1),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nu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deţin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achiziţionează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dobândesc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1 noiembrie-31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martie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cererea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menţionată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anterior,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însoţită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următoarele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factură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/contract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vânzare-cumpărare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donaţie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moştenire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adeverinţei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atestă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proprietatea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înscrise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registrul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agricol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data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solicitării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eliberată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consiliul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local pe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raza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căruia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află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vatra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fi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transmise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ca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scanate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pe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pagină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documentelor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transmise</w:t>
      </w:r>
      <w:proofErr w:type="spellEnd"/>
      <w:r w:rsid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.</w:t>
      </w:r>
    </w:p>
    <w:sectPr w:rsidR="005C3CC1" w:rsidRPr="008826D6" w:rsidSect="00E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0" w:right="720" w:bottom="36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1576" w14:textId="77777777" w:rsidR="00C97981" w:rsidRDefault="00C97981" w:rsidP="00812F75">
      <w:pPr>
        <w:spacing w:after="0" w:line="240" w:lineRule="auto"/>
      </w:pPr>
      <w:r>
        <w:separator/>
      </w:r>
    </w:p>
  </w:endnote>
  <w:endnote w:type="continuationSeparator" w:id="0">
    <w:p w14:paraId="728B6244" w14:textId="77777777" w:rsidR="00C97981" w:rsidRDefault="00C97981" w:rsidP="008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A5DC" w14:textId="77777777" w:rsidR="00444991" w:rsidRDefault="0044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21FF" w14:textId="77777777" w:rsidR="00444991" w:rsidRDefault="00444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4AC1" w14:textId="77777777" w:rsidR="00444991" w:rsidRDefault="0044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9E05" w14:textId="77777777" w:rsidR="00C97981" w:rsidRDefault="00C97981" w:rsidP="00812F75">
      <w:pPr>
        <w:spacing w:after="0" w:line="240" w:lineRule="auto"/>
      </w:pPr>
      <w:r>
        <w:separator/>
      </w:r>
    </w:p>
  </w:footnote>
  <w:footnote w:type="continuationSeparator" w:id="0">
    <w:p w14:paraId="770B38FB" w14:textId="77777777" w:rsidR="00C97981" w:rsidRDefault="00C97981" w:rsidP="0081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D78" w14:textId="77777777" w:rsidR="00444991" w:rsidRDefault="00444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CE3" w14:textId="53B85B7C" w:rsidR="00812F75" w:rsidRPr="00444991" w:rsidRDefault="00812F75" w:rsidP="00812F75">
    <w:pPr>
      <w:shd w:val="clear" w:color="auto" w:fill="FFFFFF"/>
      <w:spacing w:after="0" w:line="240" w:lineRule="auto"/>
      <w:jc w:val="center"/>
      <w:rPr>
        <w:rFonts w:eastAsia="Times New Roman" w:cstheme="minorHAnsi"/>
        <w:b/>
        <w:bCs/>
        <w:i/>
        <w:iCs/>
        <w:color w:val="000000" w:themeColor="text1"/>
        <w:lang w:eastAsia="en-GB"/>
      </w:rPr>
    </w:pPr>
    <w:r w:rsidRPr="00444991">
      <w:rPr>
        <w:rFonts w:cstheme="minorHAnsi"/>
        <w:b/>
        <w:bCs/>
        <w:i/>
        <w:iCs/>
        <w:color w:val="000000" w:themeColor="text1"/>
        <w:lang w:val="ro-RO"/>
      </w:rPr>
      <w:t xml:space="preserve">FIȘĂ INFORMARE APICULTORI: EXTRAS DIN </w:t>
    </w:r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ORDIN nr. 251 din 24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iulie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2017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pentru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aprobarea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Sistemului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unitar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de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identificare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a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stupinelor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şi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stupilor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/COMPLETAT CU </w:t>
    </w:r>
    <w:hyperlink r:id="rId1" w:anchor="do|ari|pt1" w:history="1">
      <w:proofErr w:type="spellStart"/>
      <w:r w:rsidRPr="00444991">
        <w:rPr>
          <w:rFonts w:eastAsia="Times New Roman" w:cstheme="minorHAnsi"/>
          <w:b/>
          <w:bCs/>
          <w:i/>
          <w:iCs/>
          <w:color w:val="000000" w:themeColor="text1"/>
          <w:u w:val="single"/>
          <w:shd w:val="clear" w:color="auto" w:fill="FFFFFF"/>
          <w:lang w:eastAsia="en-GB"/>
        </w:rPr>
        <w:t>Ordinul</w:t>
      </w:r>
      <w:proofErr w:type="spellEnd"/>
      <w:r w:rsidRPr="00444991">
        <w:rPr>
          <w:rFonts w:eastAsia="Times New Roman" w:cstheme="minorHAnsi"/>
          <w:b/>
          <w:bCs/>
          <w:i/>
          <w:iCs/>
          <w:color w:val="000000" w:themeColor="text1"/>
          <w:u w:val="single"/>
          <w:shd w:val="clear" w:color="auto" w:fill="FFFFFF"/>
          <w:lang w:eastAsia="en-GB"/>
        </w:rPr>
        <w:t xml:space="preserve"> 105/2021</w:t>
      </w:r>
    </w:hyperlink>
    <w:r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)</w:t>
    </w:r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</w:t>
    </w:r>
    <w:proofErr w:type="spellStart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>și</w:t>
    </w:r>
    <w:proofErr w:type="spellEnd"/>
    <w:r w:rsidR="00444991" w:rsidRPr="00444991">
      <w:rPr>
        <w:rFonts w:cstheme="minorHAnsi"/>
        <w:b/>
        <w:bCs/>
        <w:color w:val="000000" w:themeColor="text1"/>
      </w:rPr>
      <w:t xml:space="preserve"> </w:t>
    </w:r>
    <w:proofErr w:type="spellStart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>Ordinul</w:t>
    </w:r>
    <w:proofErr w:type="spellEnd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37/</w:t>
    </w:r>
    <w:proofErr w:type="gramStart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>2022 )</w:t>
    </w:r>
    <w:proofErr w:type="gramEnd"/>
  </w:p>
  <w:p w14:paraId="373BBE5B" w14:textId="68F71386" w:rsidR="00812F75" w:rsidRPr="00812F75" w:rsidRDefault="00812F75">
    <w:pPr>
      <w:pStyle w:val="Header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341" w14:textId="77777777" w:rsidR="00444991" w:rsidRDefault="0044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1"/>
    <w:rsid w:val="00025165"/>
    <w:rsid w:val="000C36C8"/>
    <w:rsid w:val="000E1066"/>
    <w:rsid w:val="00181394"/>
    <w:rsid w:val="00376B72"/>
    <w:rsid w:val="00444991"/>
    <w:rsid w:val="004C536F"/>
    <w:rsid w:val="005C3CC1"/>
    <w:rsid w:val="006474C4"/>
    <w:rsid w:val="007108BF"/>
    <w:rsid w:val="00812F75"/>
    <w:rsid w:val="008826D6"/>
    <w:rsid w:val="008C1E45"/>
    <w:rsid w:val="008E5382"/>
    <w:rsid w:val="00AC4F5C"/>
    <w:rsid w:val="00C93687"/>
    <w:rsid w:val="00C97981"/>
    <w:rsid w:val="00CA3480"/>
    <w:rsid w:val="00CC0EBB"/>
    <w:rsid w:val="00CC7724"/>
    <w:rsid w:val="00EF1232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A1E5"/>
  <w15:docId w15:val="{F9A9F285-FD3A-4A2B-B650-871E953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C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328542\00187513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sintact%204.0\cache\Legislatie\temp328542\002221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ANARZ-PC15</cp:lastModifiedBy>
  <cp:revision>3</cp:revision>
  <cp:lastPrinted>2021-10-28T05:07:00Z</cp:lastPrinted>
  <dcterms:created xsi:type="dcterms:W3CDTF">2022-03-22T09:00:00Z</dcterms:created>
  <dcterms:modified xsi:type="dcterms:W3CDTF">2022-03-22T09:04:00Z</dcterms:modified>
</cp:coreProperties>
</file>